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C581" w14:textId="79416781" w:rsidR="00CD380B" w:rsidRDefault="00CD380B" w:rsidP="00CD380B">
      <w:pPr>
        <w:spacing w:after="0"/>
        <w:jc w:val="center"/>
        <w:rPr>
          <w:rFonts w:ascii="Verdana" w:hAnsi="Verdana" w:cs="Arial"/>
          <w:b/>
          <w:bCs/>
        </w:rPr>
      </w:pPr>
      <w:r w:rsidRPr="00CD380B">
        <w:rPr>
          <w:rFonts w:ascii="Verdana" w:hAnsi="Verdana" w:cs="Arial"/>
          <w:b/>
          <w:bCs/>
        </w:rPr>
        <w:t>Extracto</w:t>
      </w:r>
      <w:r w:rsidRPr="00CD380B">
        <w:rPr>
          <w:rFonts w:ascii="Verdana" w:hAnsi="Verdana" w:cs="Arial"/>
          <w:b/>
          <w:bCs/>
        </w:rPr>
        <w:t xml:space="preserve"> Política General SARLAFT</w:t>
      </w:r>
    </w:p>
    <w:p w14:paraId="17B1AADC" w14:textId="77777777" w:rsidR="00CD380B" w:rsidRPr="00CD380B" w:rsidRDefault="00CD380B" w:rsidP="00CD380B">
      <w:pPr>
        <w:spacing w:after="0"/>
        <w:jc w:val="center"/>
        <w:rPr>
          <w:rFonts w:ascii="Verdana" w:hAnsi="Verdana" w:cs="Arial"/>
          <w:b/>
          <w:bCs/>
        </w:rPr>
      </w:pPr>
    </w:p>
    <w:p w14:paraId="7CD4B8BB" w14:textId="15F46A07" w:rsidR="00CD380B" w:rsidRPr="00CD380B" w:rsidRDefault="00CD380B" w:rsidP="00CD380B">
      <w:pPr>
        <w:spacing w:after="0"/>
        <w:jc w:val="both"/>
        <w:rPr>
          <w:rFonts w:ascii="Verdana" w:hAnsi="Verdana" w:cs="Arial"/>
          <w:b/>
          <w:bCs/>
        </w:rPr>
      </w:pPr>
      <w:r w:rsidRPr="00CD380B">
        <w:rPr>
          <w:rFonts w:ascii="Verdana" w:hAnsi="Verdana" w:cs="Arial"/>
          <w:b/>
          <w:bCs/>
        </w:rPr>
        <w:t>Compromiso Institucional</w:t>
      </w:r>
    </w:p>
    <w:p w14:paraId="07BFDA18" w14:textId="77777777" w:rsidR="00CD380B" w:rsidRPr="00CD380B" w:rsidRDefault="00CD380B" w:rsidP="00CD380B">
      <w:pPr>
        <w:spacing w:after="0"/>
        <w:jc w:val="both"/>
        <w:rPr>
          <w:rFonts w:ascii="Verdana" w:hAnsi="Verdana" w:cs="Arial"/>
        </w:rPr>
      </w:pPr>
      <w:r w:rsidRPr="00CD380B">
        <w:rPr>
          <w:rFonts w:ascii="Verdana" w:hAnsi="Verdana" w:cs="Arial"/>
        </w:rPr>
        <w:t>La Terminal de Transportes de Girardot S.A. declara su firme compromiso con la prevención y administración de los riesgos asociados al Lavado de Activos (LA), la Financiación del Terrorismo (FT) y la Financiación de la Proliferación de Armas de Destrucción Masiva (FP). Este compromiso abarca todas sus unidades de negocio, incluyendo la administración de infraestructura de transporte, el Centro de Diagnóstico Automotor (CDA) y la venta de combustibles.</w:t>
      </w:r>
    </w:p>
    <w:p w14:paraId="423C22E1" w14:textId="77777777" w:rsidR="00CD380B" w:rsidRPr="00CD380B" w:rsidRDefault="00CD380B" w:rsidP="00CD380B">
      <w:pPr>
        <w:spacing w:after="0"/>
        <w:jc w:val="both"/>
        <w:rPr>
          <w:rFonts w:ascii="Verdana" w:hAnsi="Verdana" w:cs="Arial"/>
        </w:rPr>
      </w:pPr>
    </w:p>
    <w:p w14:paraId="661E7D71" w14:textId="1812F578" w:rsidR="00CD380B" w:rsidRPr="00CD380B" w:rsidRDefault="00CD380B" w:rsidP="00CD380B">
      <w:pPr>
        <w:spacing w:after="0"/>
        <w:jc w:val="both"/>
        <w:rPr>
          <w:rFonts w:ascii="Verdana" w:hAnsi="Verdana" w:cs="Arial"/>
          <w:b/>
          <w:bCs/>
        </w:rPr>
      </w:pPr>
      <w:r w:rsidRPr="00CD380B">
        <w:rPr>
          <w:rFonts w:ascii="Verdana" w:hAnsi="Verdana" w:cs="Arial"/>
          <w:b/>
          <w:bCs/>
        </w:rPr>
        <w:t>Objetivo de la Política</w:t>
      </w:r>
    </w:p>
    <w:p w14:paraId="3ABF5721" w14:textId="77777777" w:rsidR="00CD380B" w:rsidRPr="00CD380B" w:rsidRDefault="00CD380B" w:rsidP="00CD380B">
      <w:pPr>
        <w:spacing w:after="0"/>
        <w:jc w:val="both"/>
        <w:rPr>
          <w:rFonts w:ascii="Verdana" w:hAnsi="Verdana" w:cs="Arial"/>
        </w:rPr>
      </w:pPr>
      <w:r w:rsidRPr="00CD380B">
        <w:rPr>
          <w:rFonts w:ascii="Verdana" w:hAnsi="Verdana" w:cs="Arial"/>
        </w:rPr>
        <w:t>El sistema busca minimizar los riesgos de tipo legal, reputacional, operativo y de contagio mediante la implementación de directrices claras, el cumplimiento normativo y la aplicación del principio de debida diligencia con todos sus clientes, colaboradores y contrapartes.</w:t>
      </w:r>
    </w:p>
    <w:p w14:paraId="61763B6D" w14:textId="77777777" w:rsidR="00CD380B" w:rsidRDefault="00CD380B" w:rsidP="00CD380B">
      <w:pPr>
        <w:spacing w:after="0"/>
        <w:jc w:val="both"/>
        <w:rPr>
          <w:rFonts w:ascii="Verdana" w:hAnsi="Verdana" w:cs="Arial"/>
        </w:rPr>
      </w:pPr>
    </w:p>
    <w:p w14:paraId="597E6939" w14:textId="6A127743" w:rsidR="00CD380B" w:rsidRPr="00CD380B" w:rsidRDefault="00CD380B" w:rsidP="00CD380B">
      <w:pPr>
        <w:spacing w:after="0"/>
        <w:jc w:val="both"/>
        <w:rPr>
          <w:rFonts w:ascii="Verdana" w:hAnsi="Verdana" w:cs="Arial"/>
          <w:b/>
          <w:bCs/>
        </w:rPr>
      </w:pPr>
      <w:r w:rsidRPr="00CD380B">
        <w:rPr>
          <w:rFonts w:ascii="Verdana" w:hAnsi="Verdana" w:cs="Arial"/>
          <w:b/>
          <w:bCs/>
        </w:rPr>
        <w:t>Pilares Estratégicos</w:t>
      </w:r>
    </w:p>
    <w:p w14:paraId="6197A08C" w14:textId="77777777" w:rsidR="00CD380B" w:rsidRPr="00CD380B" w:rsidRDefault="00CD380B" w:rsidP="00CD380B">
      <w:pPr>
        <w:spacing w:after="0"/>
        <w:jc w:val="both"/>
        <w:rPr>
          <w:rFonts w:ascii="Verdana" w:hAnsi="Verdana" w:cs="Arial"/>
        </w:rPr>
      </w:pPr>
      <w:r w:rsidRPr="00CD380B">
        <w:rPr>
          <w:rFonts w:ascii="Verdana" w:hAnsi="Verdana" w:cs="Arial"/>
        </w:rPr>
        <w:t>Para garantizar la efectividad del SARLAFT, la Terminal se rige por los siguientes pilares:</w:t>
      </w:r>
    </w:p>
    <w:p w14:paraId="10F709D5" w14:textId="77777777" w:rsidR="00CD380B" w:rsidRPr="00CD380B" w:rsidRDefault="00CD380B" w:rsidP="00CD380B">
      <w:pPr>
        <w:numPr>
          <w:ilvl w:val="0"/>
          <w:numId w:val="2"/>
        </w:numPr>
        <w:spacing w:after="0"/>
        <w:jc w:val="both"/>
        <w:rPr>
          <w:rFonts w:ascii="Verdana" w:hAnsi="Verdana" w:cs="Arial"/>
        </w:rPr>
      </w:pPr>
      <w:r w:rsidRPr="00CD380B">
        <w:rPr>
          <w:rFonts w:ascii="Verdana" w:hAnsi="Verdana" w:cs="Arial"/>
        </w:rPr>
        <w:t>Cultura de Prevención: Fomento de una cultura organizacional basada en la legalidad e integridad a través de programas de capacitación anual y canales de comunicación internos seguros para el reporte de actividades sospechosas.</w:t>
      </w:r>
    </w:p>
    <w:p w14:paraId="7040E43A" w14:textId="77777777" w:rsidR="00CD380B" w:rsidRPr="00CD380B" w:rsidRDefault="00CD380B" w:rsidP="00CD380B">
      <w:pPr>
        <w:numPr>
          <w:ilvl w:val="0"/>
          <w:numId w:val="2"/>
        </w:numPr>
        <w:spacing w:after="0"/>
        <w:jc w:val="both"/>
        <w:rPr>
          <w:rFonts w:ascii="Verdana" w:hAnsi="Verdana" w:cs="Arial"/>
        </w:rPr>
      </w:pPr>
      <w:r w:rsidRPr="00CD380B">
        <w:rPr>
          <w:rFonts w:ascii="Verdana" w:hAnsi="Verdana" w:cs="Arial"/>
        </w:rPr>
        <w:t>Gestión Basada en Riesgos: Identificación, medición y control de riesgos según la contraparte, producto, canal y jurisdicción, asegurando un monitoreo continuo de las operaciones.</w:t>
      </w:r>
    </w:p>
    <w:p w14:paraId="04807996" w14:textId="77777777" w:rsidR="00CD380B" w:rsidRDefault="00CD380B" w:rsidP="00CD380B">
      <w:pPr>
        <w:numPr>
          <w:ilvl w:val="0"/>
          <w:numId w:val="2"/>
        </w:numPr>
        <w:spacing w:after="0"/>
        <w:jc w:val="both"/>
        <w:rPr>
          <w:rFonts w:ascii="Verdana" w:hAnsi="Verdana" w:cs="Arial"/>
        </w:rPr>
      </w:pPr>
      <w:r w:rsidRPr="00CD380B">
        <w:rPr>
          <w:rFonts w:ascii="Verdana" w:hAnsi="Verdana" w:cs="Arial"/>
        </w:rPr>
        <w:t>Mejora Continua: Asignación de recursos técnicos, humanos y financieros para la optimización constante del sistema y la adopción de mejores prácticas nacionales e internacionales.</w:t>
      </w:r>
    </w:p>
    <w:p w14:paraId="1F9BEEC6" w14:textId="77777777" w:rsidR="00CD380B" w:rsidRPr="00CD380B" w:rsidRDefault="00CD380B" w:rsidP="00CD380B">
      <w:pPr>
        <w:spacing w:after="0"/>
        <w:ind w:left="720"/>
        <w:jc w:val="both"/>
        <w:rPr>
          <w:rFonts w:ascii="Verdana" w:hAnsi="Verdana" w:cs="Arial"/>
        </w:rPr>
      </w:pPr>
    </w:p>
    <w:p w14:paraId="4FC5345A" w14:textId="3C23E3F1" w:rsidR="00CD380B" w:rsidRPr="00CD380B" w:rsidRDefault="00CD380B" w:rsidP="00CD380B">
      <w:pPr>
        <w:spacing w:after="0"/>
        <w:jc w:val="both"/>
        <w:rPr>
          <w:rFonts w:ascii="Verdana" w:hAnsi="Verdana" w:cs="Arial"/>
          <w:b/>
          <w:bCs/>
        </w:rPr>
      </w:pPr>
      <w:r w:rsidRPr="00CD380B">
        <w:rPr>
          <w:rFonts w:ascii="Verdana" w:hAnsi="Verdana" w:cs="Arial"/>
          <w:b/>
          <w:bCs/>
        </w:rPr>
        <w:t>Responsabilidades Clave</w:t>
      </w:r>
    </w:p>
    <w:p w14:paraId="5B7637C3" w14:textId="77777777" w:rsidR="00CD380B" w:rsidRPr="00CD380B" w:rsidRDefault="00CD380B" w:rsidP="00CD380B">
      <w:pPr>
        <w:spacing w:after="0"/>
        <w:jc w:val="both"/>
        <w:rPr>
          <w:rFonts w:ascii="Verdana" w:hAnsi="Verdana" w:cs="Arial"/>
        </w:rPr>
      </w:pPr>
      <w:r w:rsidRPr="00CD380B">
        <w:rPr>
          <w:rFonts w:ascii="Verdana" w:hAnsi="Verdana" w:cs="Arial"/>
        </w:rPr>
        <w:t>La gestión del SARLAFT es una responsabilidad compartida:</w:t>
      </w:r>
    </w:p>
    <w:p w14:paraId="6146103A" w14:textId="77777777" w:rsidR="00CD380B" w:rsidRPr="00CD380B" w:rsidRDefault="00CD380B" w:rsidP="00CD380B">
      <w:pPr>
        <w:numPr>
          <w:ilvl w:val="0"/>
          <w:numId w:val="3"/>
        </w:numPr>
        <w:spacing w:after="0"/>
        <w:jc w:val="both"/>
        <w:rPr>
          <w:rFonts w:ascii="Verdana" w:hAnsi="Verdana" w:cs="Arial"/>
        </w:rPr>
      </w:pPr>
      <w:r w:rsidRPr="00CD380B">
        <w:rPr>
          <w:rFonts w:ascii="Verdana" w:hAnsi="Verdana" w:cs="Arial"/>
        </w:rPr>
        <w:t>Junta Directiva y Alta Dirección: Encargadas de aprobar políticas, asegurar recursos y supervisar el cumplimiento estratégico del sistema.</w:t>
      </w:r>
    </w:p>
    <w:p w14:paraId="57E9597C" w14:textId="77777777" w:rsidR="00CD380B" w:rsidRPr="00CD380B" w:rsidRDefault="00CD380B" w:rsidP="00CD380B">
      <w:pPr>
        <w:numPr>
          <w:ilvl w:val="0"/>
          <w:numId w:val="3"/>
        </w:numPr>
        <w:spacing w:after="0"/>
        <w:jc w:val="both"/>
        <w:rPr>
          <w:rFonts w:ascii="Verdana" w:hAnsi="Verdana" w:cs="Arial"/>
        </w:rPr>
      </w:pPr>
      <w:r w:rsidRPr="00CD380B">
        <w:rPr>
          <w:rFonts w:ascii="Verdana" w:hAnsi="Verdana" w:cs="Arial"/>
        </w:rPr>
        <w:lastRenderedPageBreak/>
        <w:t>Oficial de Cumplimiento: Actúa con independencia funcional para coordinar el sistema, monitorear operaciones y realizar reportes ante la UIAF.</w:t>
      </w:r>
    </w:p>
    <w:p w14:paraId="2E1AD0C6" w14:textId="77777777" w:rsidR="00CD380B" w:rsidRDefault="00CD380B" w:rsidP="00CD380B">
      <w:pPr>
        <w:numPr>
          <w:ilvl w:val="0"/>
          <w:numId w:val="3"/>
        </w:numPr>
        <w:spacing w:after="0"/>
        <w:jc w:val="both"/>
        <w:rPr>
          <w:rFonts w:ascii="Verdana" w:hAnsi="Verdana" w:cs="Arial"/>
        </w:rPr>
      </w:pPr>
      <w:r w:rsidRPr="00CD380B">
        <w:rPr>
          <w:rFonts w:ascii="Verdana" w:hAnsi="Verdana" w:cs="Arial"/>
        </w:rPr>
        <w:t>Colaboradores: Tienen la obligación de cumplir los lineamientos, participar en capacitaciones y reportar de buena fe cualquier comportamiento sospechoso.</w:t>
      </w:r>
    </w:p>
    <w:p w14:paraId="54792251" w14:textId="77777777" w:rsidR="00CD380B" w:rsidRPr="00CD380B" w:rsidRDefault="00CD380B" w:rsidP="00CD380B">
      <w:pPr>
        <w:spacing w:after="0"/>
        <w:ind w:left="720"/>
        <w:jc w:val="both"/>
        <w:rPr>
          <w:rFonts w:ascii="Verdana" w:hAnsi="Verdana" w:cs="Arial"/>
        </w:rPr>
      </w:pPr>
    </w:p>
    <w:p w14:paraId="55C816E4" w14:textId="46266DF8" w:rsidR="00CD380B" w:rsidRPr="00CD380B" w:rsidRDefault="00CD380B" w:rsidP="00CD380B">
      <w:pPr>
        <w:spacing w:after="0"/>
        <w:jc w:val="both"/>
        <w:rPr>
          <w:rFonts w:ascii="Verdana" w:hAnsi="Verdana" w:cs="Arial"/>
          <w:b/>
          <w:bCs/>
        </w:rPr>
      </w:pPr>
      <w:r w:rsidRPr="00CD380B">
        <w:rPr>
          <w:rFonts w:ascii="Verdana" w:hAnsi="Verdana" w:cs="Arial"/>
          <w:b/>
          <w:bCs/>
        </w:rPr>
        <w:t>Ética y Transparencia</w:t>
      </w:r>
    </w:p>
    <w:p w14:paraId="2D1AAD34" w14:textId="09DD75CB" w:rsidR="00983C9A" w:rsidRDefault="00983C9A" w:rsidP="00983C9A">
      <w:pPr>
        <w:spacing w:after="0"/>
        <w:jc w:val="both"/>
        <w:rPr>
          <w:rFonts w:ascii="Verdana" w:hAnsi="Verdana" w:cs="Arial"/>
        </w:rPr>
      </w:pPr>
      <w:r w:rsidRPr="00983C9A">
        <w:rPr>
          <w:rFonts w:ascii="Verdana" w:hAnsi="Verdana" w:cs="Arial"/>
        </w:rPr>
        <w:t>La Terminal de Transportes de Girardot S.A. fundamenta su gestión en una cultura de legalidad, donde la transparencia y la integridad son responsabilidades compartidas por todos los niveles de la organizació</w:t>
      </w:r>
      <w:r>
        <w:rPr>
          <w:rFonts w:ascii="Verdana" w:hAnsi="Verdana" w:cs="Arial"/>
        </w:rPr>
        <w:t xml:space="preserve">n. </w:t>
      </w:r>
      <w:r w:rsidRPr="00983C9A">
        <w:rPr>
          <w:rFonts w:ascii="Verdana" w:hAnsi="Verdana" w:cs="Arial"/>
        </w:rPr>
        <w:t>Este pilar se desarrolla bajo los siguientes principios:</w:t>
      </w:r>
    </w:p>
    <w:p w14:paraId="28DCAF1F" w14:textId="77777777" w:rsidR="00983C9A" w:rsidRDefault="00983C9A" w:rsidP="00983C9A">
      <w:pPr>
        <w:pStyle w:val="Prrafodelista"/>
        <w:numPr>
          <w:ilvl w:val="0"/>
          <w:numId w:val="4"/>
        </w:numPr>
        <w:spacing w:after="0"/>
        <w:jc w:val="both"/>
        <w:rPr>
          <w:rFonts w:ascii="Verdana" w:hAnsi="Verdana" w:cs="Arial"/>
        </w:rPr>
      </w:pPr>
      <w:r w:rsidRPr="00983C9A">
        <w:rPr>
          <w:rFonts w:ascii="Verdana" w:hAnsi="Verdana" w:cs="Arial"/>
        </w:rPr>
        <w:t>Estándares de Conducta Profesional: Todos los colaboradores deben actuar con honradez, diligencia, imparcialidad y profesionalismo, aplicando normas éticas estrictas que superen el mínimo legal para preservar la confianza del público</w:t>
      </w:r>
    </w:p>
    <w:p w14:paraId="3857214C" w14:textId="77777777" w:rsidR="00983C9A" w:rsidRDefault="00983C9A" w:rsidP="00983C9A">
      <w:pPr>
        <w:pStyle w:val="Prrafodelista"/>
        <w:numPr>
          <w:ilvl w:val="0"/>
          <w:numId w:val="4"/>
        </w:numPr>
        <w:spacing w:after="0"/>
        <w:jc w:val="both"/>
        <w:rPr>
          <w:rFonts w:ascii="Verdana" w:hAnsi="Verdana" w:cs="Arial"/>
        </w:rPr>
      </w:pPr>
      <w:r w:rsidRPr="00983C9A">
        <w:rPr>
          <w:rFonts w:ascii="Verdana" w:hAnsi="Verdana" w:cs="Arial"/>
        </w:rPr>
        <w:t>Prevención de Conflictos de Interés: Se prohíbe participar en transacciones que generen conflictos con el cumplimiento del deber o utilizar información privilegiada para obtener beneficios particulares</w:t>
      </w:r>
    </w:p>
    <w:p w14:paraId="2C085332" w14:textId="77777777" w:rsidR="00983C9A" w:rsidRDefault="00983C9A" w:rsidP="00983C9A">
      <w:pPr>
        <w:pStyle w:val="Prrafodelista"/>
        <w:numPr>
          <w:ilvl w:val="0"/>
          <w:numId w:val="4"/>
        </w:numPr>
        <w:spacing w:after="0"/>
        <w:jc w:val="both"/>
        <w:rPr>
          <w:rFonts w:ascii="Verdana" w:hAnsi="Verdana" w:cs="Arial"/>
        </w:rPr>
      </w:pPr>
      <w:r w:rsidRPr="00983C9A">
        <w:rPr>
          <w:rFonts w:ascii="Verdana" w:hAnsi="Verdana" w:cs="Arial"/>
        </w:rPr>
        <w:t>Política de Cero Regalos: No se permite solicitar ni aceptar regalos, dinero o artículos de valor de personas o entidades que mantengan una relación jurídico-económica con la Terminal, garantizando así la objetividad en las decisiones</w:t>
      </w:r>
    </w:p>
    <w:p w14:paraId="018ADE24" w14:textId="77777777" w:rsidR="00983C9A" w:rsidRDefault="00983C9A" w:rsidP="00983C9A">
      <w:pPr>
        <w:pStyle w:val="Prrafodelista"/>
        <w:numPr>
          <w:ilvl w:val="0"/>
          <w:numId w:val="4"/>
        </w:numPr>
        <w:spacing w:after="0"/>
        <w:jc w:val="both"/>
        <w:rPr>
          <w:rFonts w:ascii="Verdana" w:hAnsi="Verdana" w:cs="Arial"/>
        </w:rPr>
      </w:pPr>
      <w:r w:rsidRPr="00983C9A">
        <w:rPr>
          <w:rFonts w:ascii="Verdana" w:hAnsi="Verdana" w:cs="Arial"/>
        </w:rPr>
        <w:t>Protección de la Información y Recursos: Existe un compromiso absoluto con la confidencialidad de la información y el uso eficiente de los recursos, prohibiendo su derroche o uso indebido</w:t>
      </w:r>
    </w:p>
    <w:p w14:paraId="38EE952D" w14:textId="610A6C3E" w:rsidR="00983C9A" w:rsidRDefault="00983C9A" w:rsidP="00983C9A">
      <w:pPr>
        <w:pStyle w:val="Prrafodelista"/>
        <w:numPr>
          <w:ilvl w:val="0"/>
          <w:numId w:val="4"/>
        </w:numPr>
        <w:spacing w:after="0"/>
        <w:jc w:val="both"/>
        <w:rPr>
          <w:rFonts w:ascii="Verdana" w:hAnsi="Verdana" w:cs="Arial"/>
        </w:rPr>
      </w:pPr>
      <w:r w:rsidRPr="00983C9A">
        <w:rPr>
          <w:rFonts w:ascii="Verdana" w:hAnsi="Verdana" w:cs="Arial"/>
        </w:rPr>
        <w:t>Deber de Denuncia: Es obligación de todo el personal informar a las autoridades competentes y a través de los canales internos sobre cualquier acto de fraude, soborno, corrupción o conductas vinculadas a los delitos de LA/FT/FP</w:t>
      </w:r>
    </w:p>
    <w:p w14:paraId="347989A9" w14:textId="77777777" w:rsidR="00983C9A" w:rsidRPr="00983C9A" w:rsidRDefault="00983C9A" w:rsidP="00983C9A">
      <w:pPr>
        <w:pStyle w:val="Prrafodelista"/>
        <w:spacing w:after="0"/>
        <w:jc w:val="both"/>
        <w:rPr>
          <w:rFonts w:ascii="Verdana" w:hAnsi="Verdana" w:cs="Arial"/>
        </w:rPr>
      </w:pPr>
    </w:p>
    <w:p w14:paraId="5CC816B5" w14:textId="70DAB6A5" w:rsidR="00983C9A" w:rsidRPr="00983C9A" w:rsidRDefault="00983C9A" w:rsidP="00983C9A">
      <w:pPr>
        <w:spacing w:after="0"/>
        <w:jc w:val="both"/>
        <w:rPr>
          <w:rFonts w:ascii="Verdana" w:hAnsi="Verdana" w:cs="Arial"/>
        </w:rPr>
      </w:pPr>
      <w:r w:rsidRPr="00983C9A">
        <w:rPr>
          <w:rFonts w:ascii="Verdana" w:hAnsi="Verdana" w:cs="Arial"/>
        </w:rPr>
        <w:t xml:space="preserve">Este marco ético se consolida a través del Código de Ética </w:t>
      </w:r>
      <w:r>
        <w:rPr>
          <w:rFonts w:ascii="Verdana" w:hAnsi="Verdana" w:cs="Arial"/>
        </w:rPr>
        <w:t>y</w:t>
      </w:r>
      <w:r w:rsidRPr="00983C9A">
        <w:rPr>
          <w:rFonts w:ascii="Verdana" w:hAnsi="Verdana" w:cs="Arial"/>
        </w:rPr>
        <w:t xml:space="preserve"> Buen Gobierno, herramientas esenciales que guían el actuar diario de la Terminal y protegen su reputación institucional</w:t>
      </w:r>
    </w:p>
    <w:p w14:paraId="33079817" w14:textId="6D68ECFB" w:rsidR="00983C9A" w:rsidRPr="00CD380B" w:rsidRDefault="00983C9A" w:rsidP="00CD380B">
      <w:pPr>
        <w:spacing w:after="0"/>
        <w:jc w:val="both"/>
        <w:rPr>
          <w:rFonts w:ascii="Verdana" w:hAnsi="Verdana" w:cs="Arial"/>
        </w:rPr>
      </w:pPr>
    </w:p>
    <w:p w14:paraId="751B49E8" w14:textId="2D78FD5E" w:rsidR="00CD380B" w:rsidRPr="00CD380B" w:rsidRDefault="00CD380B" w:rsidP="00CD380B">
      <w:pPr>
        <w:spacing w:after="0"/>
        <w:jc w:val="both"/>
        <w:rPr>
          <w:rFonts w:ascii="Verdana" w:hAnsi="Verdana" w:cs="Arial"/>
          <w:b/>
          <w:bCs/>
        </w:rPr>
      </w:pPr>
      <w:r w:rsidRPr="00CD380B">
        <w:rPr>
          <w:rFonts w:ascii="Verdana" w:hAnsi="Verdana" w:cs="Arial"/>
          <w:b/>
          <w:bCs/>
        </w:rPr>
        <w:t>Reportes y Cumplimiento</w:t>
      </w:r>
    </w:p>
    <w:p w14:paraId="710B210D" w14:textId="77777777" w:rsidR="00983C9A" w:rsidRDefault="00CD380B" w:rsidP="00CD380B">
      <w:pPr>
        <w:spacing w:after="0"/>
        <w:jc w:val="both"/>
        <w:rPr>
          <w:rFonts w:ascii="Verdana" w:hAnsi="Verdana" w:cs="Arial"/>
        </w:rPr>
      </w:pPr>
      <w:r w:rsidRPr="00CD380B">
        <w:rPr>
          <w:rFonts w:ascii="Verdana" w:hAnsi="Verdana" w:cs="Arial"/>
        </w:rPr>
        <w:lastRenderedPageBreak/>
        <w:t xml:space="preserve">La organización garantiza el reporte oportuno y veraz de operaciones inusuales o sospechosas a la Unidad de Información y Análisis Financiero (UIAF), bajo estrictos estándares de confidencialidad. </w:t>
      </w:r>
    </w:p>
    <w:p w14:paraId="3F0EAF92" w14:textId="77777777" w:rsidR="00983C9A" w:rsidRDefault="00983C9A" w:rsidP="00CD380B">
      <w:pPr>
        <w:spacing w:after="0"/>
        <w:jc w:val="both"/>
        <w:rPr>
          <w:rFonts w:ascii="Verdana" w:hAnsi="Verdana" w:cs="Arial"/>
        </w:rPr>
      </w:pPr>
    </w:p>
    <w:p w14:paraId="32EF437E" w14:textId="52FFEC07" w:rsidR="00CD380B" w:rsidRDefault="00CD380B" w:rsidP="00CD380B">
      <w:pPr>
        <w:spacing w:after="0"/>
        <w:jc w:val="both"/>
        <w:rPr>
          <w:rFonts w:ascii="Verdana" w:hAnsi="Verdana" w:cs="Arial"/>
        </w:rPr>
      </w:pPr>
      <w:r w:rsidRPr="00CD380B">
        <w:rPr>
          <w:rFonts w:ascii="Verdana" w:hAnsi="Verdana" w:cs="Arial"/>
        </w:rPr>
        <w:t>El cumplimiento de estas disposiciones es obligatorio para todas las personas vinculadas a la Terminal.</w:t>
      </w:r>
    </w:p>
    <w:p w14:paraId="671D5C69" w14:textId="77777777" w:rsidR="00CD380B" w:rsidRPr="00CD380B" w:rsidRDefault="00CD380B" w:rsidP="00CD380B">
      <w:pPr>
        <w:spacing w:after="0"/>
        <w:jc w:val="both"/>
        <w:rPr>
          <w:rFonts w:ascii="Verdana" w:hAnsi="Verdana" w:cs="Arial"/>
        </w:rPr>
      </w:pPr>
    </w:p>
    <w:p w14:paraId="1FFCF624" w14:textId="3B503800" w:rsidR="00CD380B" w:rsidRPr="00CD380B" w:rsidRDefault="00CD380B" w:rsidP="00CD380B">
      <w:pPr>
        <w:spacing w:after="0"/>
        <w:jc w:val="both"/>
        <w:rPr>
          <w:rFonts w:ascii="Verdana" w:hAnsi="Verdana" w:cs="Arial"/>
        </w:rPr>
      </w:pPr>
      <w:r w:rsidRPr="00CD380B">
        <w:rPr>
          <w:rFonts w:ascii="Verdana" w:hAnsi="Verdana" w:cs="Arial"/>
        </w:rPr>
        <w:t xml:space="preserve">---------- </w:t>
      </w:r>
    </w:p>
    <w:p w14:paraId="467B93DA" w14:textId="788FECC8" w:rsidR="00CD380B" w:rsidRPr="00CD380B" w:rsidRDefault="00CD380B" w:rsidP="00CD380B">
      <w:pPr>
        <w:spacing w:after="0"/>
        <w:jc w:val="both"/>
        <w:rPr>
          <w:rFonts w:ascii="Verdana" w:hAnsi="Verdana" w:cs="Arial"/>
          <w:sz w:val="20"/>
          <w:szCs w:val="20"/>
        </w:rPr>
      </w:pPr>
      <w:r w:rsidRPr="00CD380B">
        <w:rPr>
          <w:rFonts w:ascii="Verdana" w:hAnsi="Verdana" w:cs="Arial"/>
          <w:i/>
          <w:iCs/>
          <w:sz w:val="20"/>
          <w:szCs w:val="20"/>
        </w:rPr>
        <w:t xml:space="preserve">Este resumen se basa en la Política General SARLAFT aprobada mediante el Acta No. </w:t>
      </w:r>
      <w:r>
        <w:rPr>
          <w:rFonts w:ascii="Verdana" w:hAnsi="Verdana" w:cs="Arial"/>
          <w:i/>
          <w:iCs/>
          <w:sz w:val="20"/>
          <w:szCs w:val="20"/>
        </w:rPr>
        <w:t xml:space="preserve">27 de marzo </w:t>
      </w:r>
      <w:r w:rsidRPr="00CD380B">
        <w:rPr>
          <w:rFonts w:ascii="Verdana" w:hAnsi="Verdana" w:cs="Arial"/>
          <w:i/>
          <w:iCs/>
          <w:sz w:val="20"/>
          <w:szCs w:val="20"/>
        </w:rPr>
        <w:t>de 2026 por la Junta Directiva.</w:t>
      </w:r>
    </w:p>
    <w:p w14:paraId="3EC8810E" w14:textId="77777777" w:rsidR="00CD380B" w:rsidRPr="00CD380B" w:rsidRDefault="00CD380B" w:rsidP="00CD380B">
      <w:pPr>
        <w:spacing w:after="0"/>
        <w:jc w:val="both"/>
        <w:rPr>
          <w:rFonts w:ascii="Verdana" w:hAnsi="Verdana" w:cs="Arial"/>
        </w:rPr>
      </w:pPr>
    </w:p>
    <w:sectPr w:rsidR="00CD380B" w:rsidRPr="00CD38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AA7"/>
    <w:multiLevelType w:val="hybridMultilevel"/>
    <w:tmpl w:val="3F96A7A6"/>
    <w:lvl w:ilvl="0" w:tplc="45FE913C">
      <w:start w:val="3"/>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2F2DD6"/>
    <w:multiLevelType w:val="multilevel"/>
    <w:tmpl w:val="306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77DDF"/>
    <w:multiLevelType w:val="multilevel"/>
    <w:tmpl w:val="2A50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46055"/>
    <w:multiLevelType w:val="hybridMultilevel"/>
    <w:tmpl w:val="E7D22A1E"/>
    <w:lvl w:ilvl="0" w:tplc="86B40772">
      <w:start w:val="2"/>
      <w:numFmt w:val="bullet"/>
      <w:lvlText w:val="-"/>
      <w:lvlJc w:val="left"/>
      <w:pPr>
        <w:ind w:left="720" w:hanging="360"/>
      </w:pPr>
      <w:rPr>
        <w:rFonts w:ascii="Aptos" w:eastAsiaTheme="minorHAnsi" w:hAnsi="Aptos"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688750432">
    <w:abstractNumId w:val="3"/>
    <w:lvlOverride w:ilvl="0"/>
    <w:lvlOverride w:ilvl="1"/>
    <w:lvlOverride w:ilvl="2"/>
    <w:lvlOverride w:ilvl="3"/>
    <w:lvlOverride w:ilvl="4"/>
    <w:lvlOverride w:ilvl="5"/>
    <w:lvlOverride w:ilvl="6"/>
    <w:lvlOverride w:ilvl="7"/>
    <w:lvlOverride w:ilvl="8"/>
  </w:num>
  <w:num w:numId="2" w16cid:durableId="2006931669">
    <w:abstractNumId w:val="2"/>
  </w:num>
  <w:num w:numId="3" w16cid:durableId="1072701139">
    <w:abstractNumId w:val="1"/>
  </w:num>
  <w:num w:numId="4" w16cid:durableId="36132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B"/>
    <w:rsid w:val="000B15D9"/>
    <w:rsid w:val="00983C9A"/>
    <w:rsid w:val="00CD38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2A45"/>
  <w15:chartTrackingRefBased/>
  <w15:docId w15:val="{52EC6337-0D98-44C3-984B-8E768515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38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38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38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38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38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38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38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38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38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38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38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38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38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38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38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380B"/>
    <w:rPr>
      <w:rFonts w:eastAsiaTheme="majorEastAsia" w:cstheme="majorBidi"/>
      <w:color w:val="272727" w:themeColor="text1" w:themeTint="D8"/>
    </w:rPr>
  </w:style>
  <w:style w:type="paragraph" w:styleId="Ttulo">
    <w:name w:val="Title"/>
    <w:basedOn w:val="Normal"/>
    <w:next w:val="Normal"/>
    <w:link w:val="TtuloCar"/>
    <w:uiPriority w:val="10"/>
    <w:qFormat/>
    <w:rsid w:val="00CD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38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38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38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380B"/>
    <w:pPr>
      <w:spacing w:before="160"/>
      <w:jc w:val="center"/>
    </w:pPr>
    <w:rPr>
      <w:i/>
      <w:iCs/>
      <w:color w:val="404040" w:themeColor="text1" w:themeTint="BF"/>
    </w:rPr>
  </w:style>
  <w:style w:type="character" w:customStyle="1" w:styleId="CitaCar">
    <w:name w:val="Cita Car"/>
    <w:basedOn w:val="Fuentedeprrafopredeter"/>
    <w:link w:val="Cita"/>
    <w:uiPriority w:val="29"/>
    <w:rsid w:val="00CD380B"/>
    <w:rPr>
      <w:i/>
      <w:iCs/>
      <w:color w:val="404040" w:themeColor="text1" w:themeTint="BF"/>
    </w:rPr>
  </w:style>
  <w:style w:type="paragraph" w:styleId="Prrafodelista">
    <w:name w:val="List Paragraph"/>
    <w:basedOn w:val="Normal"/>
    <w:uiPriority w:val="34"/>
    <w:qFormat/>
    <w:rsid w:val="00CD380B"/>
    <w:pPr>
      <w:ind w:left="720"/>
      <w:contextualSpacing/>
    </w:pPr>
  </w:style>
  <w:style w:type="character" w:styleId="nfasisintenso">
    <w:name w:val="Intense Emphasis"/>
    <w:basedOn w:val="Fuentedeprrafopredeter"/>
    <w:uiPriority w:val="21"/>
    <w:qFormat/>
    <w:rsid w:val="00CD380B"/>
    <w:rPr>
      <w:i/>
      <w:iCs/>
      <w:color w:val="0F4761" w:themeColor="accent1" w:themeShade="BF"/>
    </w:rPr>
  </w:style>
  <w:style w:type="paragraph" w:styleId="Citadestacada">
    <w:name w:val="Intense Quote"/>
    <w:basedOn w:val="Normal"/>
    <w:next w:val="Normal"/>
    <w:link w:val="CitadestacadaCar"/>
    <w:uiPriority w:val="30"/>
    <w:qFormat/>
    <w:rsid w:val="00CD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380B"/>
    <w:rPr>
      <w:i/>
      <w:iCs/>
      <w:color w:val="0F4761" w:themeColor="accent1" w:themeShade="BF"/>
    </w:rPr>
  </w:style>
  <w:style w:type="character" w:styleId="Referenciaintensa">
    <w:name w:val="Intense Reference"/>
    <w:basedOn w:val="Fuentedeprrafopredeter"/>
    <w:uiPriority w:val="32"/>
    <w:qFormat/>
    <w:rsid w:val="00CD38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624</Words>
  <Characters>3438</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Gongora</dc:creator>
  <cp:keywords/>
  <dc:description/>
  <cp:lastModifiedBy>Erika Gongora</cp:lastModifiedBy>
  <cp:revision>2</cp:revision>
  <dcterms:created xsi:type="dcterms:W3CDTF">2026-05-31T18:31:00Z</dcterms:created>
  <dcterms:modified xsi:type="dcterms:W3CDTF">2026-05-31T18:40:00Z</dcterms:modified>
</cp:coreProperties>
</file>